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DEF5">
      <w:pPr>
        <w:pStyle w:val="2"/>
        <w:spacing w:before="156" w:after="156"/>
        <w:jc w:val="center"/>
      </w:pPr>
      <w:r>
        <w:rPr>
          <w:rFonts w:hint="eastAsia"/>
        </w:rPr>
        <w:t>污染防治设施运行情况</w:t>
      </w:r>
    </w:p>
    <w:p w14:paraId="7A5F45E6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2025年，中科炼化正常生产，污染治理设施运行正常。无异常情况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。</w:t>
      </w:r>
    </w:p>
    <w:p w14:paraId="34099426">
      <w:pPr>
        <w:pStyle w:val="3"/>
      </w:pPr>
      <w:r>
        <w:t>1.废气处理设施情况</w:t>
      </w:r>
    </w:p>
    <w:p w14:paraId="6E853890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1）有组织废气</w:t>
      </w:r>
    </w:p>
    <w:p w14:paraId="07D7E673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加热炉废气通过低氮燃烧器处理；动力站锅炉废气通过配套的烟气脱硫脱硝除尘设施处理；硫磺回收装置硫回收采用</w:t>
      </w:r>
      <w:r>
        <w:rPr>
          <w:rFonts w:ascii="仿宋_GB2312" w:eastAsia="仿宋_GB2312"/>
          <w:sz w:val="28"/>
          <w:szCs w:val="28"/>
        </w:rPr>
        <w:t>Claus工艺，尾气脱硫采用氨法脱硫工艺；催化裂化装置催化剂再生烟气采用美国EDV碱洗工艺、脱硝采用SCR工艺；烷基化装置废酸再生废气通过焚烧裂解+稀硫酸吸收+电除雾处理。</w:t>
      </w:r>
    </w:p>
    <w:p w14:paraId="00B08041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2）无组织废气</w:t>
      </w:r>
    </w:p>
    <w:p w14:paraId="0E34F31E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炼油储罐罐顶气通过预处理及总烃浓度均化</w:t>
      </w:r>
      <w:r>
        <w:rPr>
          <w:rFonts w:ascii="仿宋_GB2312" w:eastAsia="仿宋_GB2312"/>
          <w:sz w:val="28"/>
          <w:szCs w:val="28"/>
        </w:rPr>
        <w:t>+催化氧化设施处理；汽车装车及火车装车有机废气通过吸收+膜分离+吸附设施处理；码头装船有机废气通过冷凝及金属表面燃烧处理；污水处理场有机废气通过生物除臭设施处理；化工工艺废气通过RTO蓄热氧化炉处理；另外，设备与管线泄漏通过实施LDAR检测及修复持续降低。</w:t>
      </w:r>
    </w:p>
    <w:p w14:paraId="205F6D8A">
      <w:pPr>
        <w:pStyle w:val="3"/>
      </w:pPr>
      <w:r>
        <w:t>2.废水处理设施情况</w:t>
      </w:r>
    </w:p>
    <w:p w14:paraId="07FA097C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包含含油污水处理系统、含盐污水处理系统和生产废水再生利用系统。含油污水处理工艺为除油</w:t>
      </w:r>
      <w:r>
        <w:rPr>
          <w:rFonts w:ascii="仿宋_GB2312" w:eastAsia="仿宋_GB2312"/>
          <w:sz w:val="28"/>
          <w:szCs w:val="28"/>
        </w:rPr>
        <w:t>+气浮+水解酸化+A/O生物处理+曝气生物滤池+V型滤池，处理后全部回用，不外排。含盐污水处理工艺为除油+气浮+A/O生物处理+臭氧催化氧+曝气生物滤池+反硝化生物滤池+高密度沉淀池+V型滤池，处理达标后通过废水总排口外排。循环水场、动力站锅炉、除盐水站及凝结水站的废水进入生产废水再生利用系统（800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/h），处理工艺为高密度澄清池+V型滤池+超滤+反渗透，处理后全部回用，不外排。</w:t>
      </w:r>
    </w:p>
    <w:p w14:paraId="1E4A9AAD">
      <w:pPr>
        <w:pStyle w:val="3"/>
      </w:pPr>
      <w:r>
        <w:t>3.固废处理设施情况</w:t>
      </w:r>
    </w:p>
    <w:p w14:paraId="2F1C98A8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主要建设一座处理能力</w:t>
      </w:r>
      <w:r>
        <w:rPr>
          <w:rFonts w:ascii="仿宋_GB2312" w:eastAsia="仿宋_GB2312"/>
          <w:sz w:val="28"/>
          <w:szCs w:val="28"/>
        </w:rPr>
        <w:t>40t/d的工业废物焚烧设施，工艺为回转窑+二燃室焚烧。废催化剂等危险废物外委有资质单位合规处置。</w:t>
      </w:r>
    </w:p>
    <w:p w14:paraId="771930E5">
      <w:pPr>
        <w:adjustRightInd w:val="0"/>
        <w:snapToGrid w:val="0"/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设置有</w:t>
      </w:r>
      <w:r>
        <w:rPr>
          <w:rFonts w:ascii="仿宋_GB2312" w:eastAsia="仿宋_GB2312"/>
          <w:sz w:val="28"/>
          <w:szCs w:val="28"/>
        </w:rPr>
        <w:t>1座固废暂存库，储存面积673m</w:t>
      </w:r>
      <w:r>
        <w:rPr>
          <w:rFonts w:ascii="仿宋_GB2312" w:eastAsia="仿宋_GB2312"/>
          <w:sz w:val="28"/>
          <w:szCs w:val="28"/>
          <w:vertAlign w:val="superscript"/>
        </w:rPr>
        <w:t>2</w:t>
      </w:r>
      <w:r>
        <w:rPr>
          <w:rFonts w:ascii="仿宋_GB2312" w:eastAsia="仿宋_GB2312"/>
          <w:sz w:val="28"/>
          <w:szCs w:val="28"/>
        </w:rPr>
        <w:t>、储存能力3365t，并配套挥发气体收集处理设施。</w:t>
      </w:r>
    </w:p>
    <w:p w14:paraId="1C75AACE">
      <w:pPr>
        <w:pStyle w:val="3"/>
      </w:pPr>
      <w:r>
        <w:t>4.环境风险应急设施</w:t>
      </w:r>
    </w:p>
    <w:p w14:paraId="69266864"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厂内有一座</w:t>
      </w:r>
      <w:r>
        <w:rPr>
          <w:rFonts w:ascii="仿宋_GB2312" w:eastAsia="仿宋_GB2312"/>
          <w:sz w:val="28"/>
          <w:szCs w:val="28"/>
        </w:rPr>
        <w:t>90000m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事故水池、一座50000m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雨水监控池，全厂划分为11个汇水区域，分别设置11个事故水/雨水切换阀；建设有一座400m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  <w:r>
        <w:rPr>
          <w:rFonts w:ascii="仿宋_GB2312" w:eastAsia="仿宋_GB2312"/>
          <w:sz w:val="28"/>
          <w:szCs w:val="28"/>
        </w:rPr>
        <w:t>应急物资库，收油机、围油栏、消油剂等应急物资齐全。</w:t>
      </w:r>
    </w:p>
    <w:p w14:paraId="017FB014">
      <w:pPr>
        <w:adjustRightInd w:val="0"/>
        <w:snapToGrid w:val="0"/>
        <w:spacing w:line="560" w:lineRule="exact"/>
        <w:ind w:firstLine="560"/>
        <w:jc w:val="center"/>
        <w:rPr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中科炼化主要环保工程一览表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039"/>
        <w:gridCol w:w="5761"/>
      </w:tblGrid>
      <w:tr w14:paraId="46EA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AA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578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D66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规模/主要内容</w:t>
            </w:r>
          </w:p>
        </w:tc>
      </w:tr>
      <w:tr w14:paraId="1DE3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3EBA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E68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酸性水汽提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6FA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120t/h（加氢型）+100t/h（非加氢型）</w:t>
            </w:r>
          </w:p>
        </w:tc>
      </w:tr>
      <w:tr w14:paraId="68CDF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5D1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AF5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硫磺回收联合装置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C6D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3×13万吨/年，硫磺回收部分采用引进意TechnimantKT公司的克劳斯(CLAUS)工艺技术，尾气经焚烧后的烟气采用氨法脱硫工艺。</w:t>
            </w:r>
          </w:p>
        </w:tc>
      </w:tr>
      <w:tr w14:paraId="1EAF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26A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408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干气、液化气精制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E6D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含干气脱硫、液化气脱硫脱硫醇等</w:t>
            </w:r>
          </w:p>
        </w:tc>
      </w:tr>
      <w:tr w14:paraId="40BC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CF5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BF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废碱渣处理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5C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炼油及化工碱渣处理</w:t>
            </w:r>
          </w:p>
        </w:tc>
      </w:tr>
      <w:tr w14:paraId="34EF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1F5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77E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催化裂化装置烟气脱硫脱硝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48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催化再生烟气采用EDV®脱硫工艺(碱洗法)，SCR脱硝</w:t>
            </w:r>
          </w:p>
        </w:tc>
      </w:tr>
      <w:tr w14:paraId="62CA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983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09D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乙烯-醋酸乙烯(EVA)装置RTO炉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5BD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装置内设置RTO炉处理化工区VOC废气</w:t>
            </w:r>
          </w:p>
        </w:tc>
      </w:tr>
      <w:tr w14:paraId="1519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C22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E05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环氧乙烷/乙二醇(EO/EG)装置热氧化炉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031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装置内设置热氧化炉处理化工区VOC废气</w:t>
            </w:r>
          </w:p>
        </w:tc>
      </w:tr>
      <w:tr w14:paraId="3F26B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BFB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038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污水处理场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3EA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低浓度污水800m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/h，高浓度污水500m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</w:t>
            </w:r>
          </w:p>
        </w:tc>
      </w:tr>
      <w:tr w14:paraId="0B106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C1C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C1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污水回用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BC3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污水回用800m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</w:t>
            </w:r>
          </w:p>
        </w:tc>
      </w:tr>
      <w:tr w14:paraId="1A87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C4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61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污水处理恶臭治理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790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生物除臭，可送CFB锅炉焚烧</w:t>
            </w:r>
          </w:p>
        </w:tc>
      </w:tr>
      <w:tr w14:paraId="2F6B9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450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636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事故水池及雨水监控池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41C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事故水池有效容积90000m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，清净雨水监控池有效容积50000m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。</w:t>
            </w:r>
          </w:p>
        </w:tc>
      </w:tr>
      <w:tr w14:paraId="0D9A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64E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D5C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凝结水回收站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D1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除油设施规模为1100t/h</w:t>
            </w:r>
          </w:p>
        </w:tc>
      </w:tr>
      <w:tr w14:paraId="749C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C18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718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码头压舱水处理设施</w:t>
            </w:r>
          </w:p>
        </w:tc>
        <w:tc>
          <w:tcPr>
            <w:tcW w:w="3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152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处理规模20m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/h，收集池1000m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14:paraId="4E25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AF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498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干式气柜</w:t>
            </w:r>
          </w:p>
        </w:tc>
        <w:tc>
          <w:tcPr>
            <w:tcW w:w="3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59C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30000m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14:paraId="74A0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8B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042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油气回收设施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D01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汽车装车设施-处理量为600Nm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/h；火车装车设施-处理量为800Nm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/h；轻质油品罐区-处理量为4900Nm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/h；重质油品罐区-处理量为1400m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/h；码头装船设置油气处理设施-焚烧处理规模7000Nm3/h；醋酸乙烯油气回收设施处理规模为3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00 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m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3/h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。</w:t>
            </w:r>
          </w:p>
        </w:tc>
      </w:tr>
      <w:tr w14:paraId="2174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D24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B5F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动力站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BBD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锅炉烟气采用半干法脱硫，SNCR+SCR法脱硝</w:t>
            </w:r>
          </w:p>
        </w:tc>
      </w:tr>
      <w:tr w14:paraId="654FF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8D4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186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工业固体废物焚烧设施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47A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含固废储存单元，焚烧设施设计规模40t/d</w:t>
            </w:r>
          </w:p>
        </w:tc>
      </w:tr>
      <w:tr w14:paraId="7C4F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B09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AB8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地下水防渗及监测井</w:t>
            </w:r>
          </w:p>
        </w:tc>
        <w:tc>
          <w:tcPr>
            <w:tcW w:w="3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707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全厂按防渗污染分区进行防渗设计，根据环评要求设置地下水污染监测井。</w:t>
            </w:r>
          </w:p>
        </w:tc>
      </w:tr>
    </w:tbl>
    <w:p w14:paraId="12236079">
      <w:pPr>
        <w:adjustRightInd w:val="0"/>
        <w:snapToGrid w:val="0"/>
        <w:spacing w:line="560" w:lineRule="exact"/>
        <w:ind w:firstLine="560"/>
        <w:rPr>
          <w:rFonts w:ascii="仿宋_GB2312" w:eastAsia="仿宋_GB2312"/>
          <w:sz w:val="28"/>
          <w:szCs w:val="28"/>
        </w:rPr>
      </w:pPr>
    </w:p>
    <w:p w14:paraId="38518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9"/>
    <w:rsid w:val="001726DB"/>
    <w:rsid w:val="001C71C0"/>
    <w:rsid w:val="0027582C"/>
    <w:rsid w:val="0029099A"/>
    <w:rsid w:val="00575A71"/>
    <w:rsid w:val="00825DA2"/>
    <w:rsid w:val="00B101D9"/>
    <w:rsid w:val="00BB562B"/>
    <w:rsid w:val="00D3582E"/>
    <w:rsid w:val="00ED1D42"/>
    <w:rsid w:val="00F73DCF"/>
    <w:rsid w:val="032220BA"/>
    <w:rsid w:val="25853DD0"/>
    <w:rsid w:val="39DE67D4"/>
    <w:rsid w:val="3D2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50" w:beforeLines="50" w:after="50" w:afterLines="50" w:line="560" w:lineRule="exac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9"/>
    <w:pPr>
      <w:keepNext/>
      <w:keepLines/>
      <w:spacing w:before="156" w:beforeLines="50" w:after="156" w:afterLines="50" w:line="560" w:lineRule="exact"/>
      <w:outlineLvl w:val="1"/>
    </w:pPr>
    <w:rPr>
      <w:rFonts w:eastAsia="方正小标宋简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1"/>
    <w:autoRedefine/>
    <w:unhideWhenUsed/>
    <w:qFormat/>
    <w:uiPriority w:val="9"/>
    <w:pPr>
      <w:keepNext/>
      <w:keepLines/>
      <w:spacing w:before="50" w:beforeLines="50" w:after="50" w:afterLines="50" w:line="560" w:lineRule="exact"/>
      <w:ind w:firstLine="200" w:firstLineChars="200"/>
      <w:outlineLvl w:val="2"/>
    </w:pPr>
    <w:rPr>
      <w:rFonts w:eastAsia="方正小标宋简体"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qFormat/>
    <w:uiPriority w:val="9"/>
    <w:rPr>
      <w:rFonts w:eastAsia="方正小标宋简体" w:asciiTheme="majorHAnsi" w:hAnsiTheme="majorHAnsi" w:cstheme="majorBidi"/>
      <w:bCs/>
      <w:sz w:val="32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1">
    <w:name w:val="标题 3 字符"/>
    <w:basedOn w:val="8"/>
    <w:link w:val="4"/>
    <w:qFormat/>
    <w:uiPriority w:val="9"/>
    <w:rPr>
      <w:rFonts w:eastAsia="方正小标宋简体"/>
      <w:bCs/>
      <w:sz w:val="30"/>
      <w:szCs w:val="32"/>
    </w:rPr>
  </w:style>
  <w:style w:type="paragraph" w:customStyle="1" w:styleId="12">
    <w:name w:val="表格"/>
    <w:basedOn w:val="1"/>
    <w:link w:val="13"/>
    <w:autoRedefine/>
    <w:qFormat/>
    <w:uiPriority w:val="0"/>
    <w:pPr>
      <w:spacing w:line="560" w:lineRule="exact"/>
      <w:ind w:firstLine="200" w:firstLineChars="200"/>
    </w:pPr>
    <w:rPr>
      <w:rFonts w:eastAsia="仿宋"/>
      <w:sz w:val="24"/>
    </w:rPr>
  </w:style>
  <w:style w:type="character" w:customStyle="1" w:styleId="13">
    <w:name w:val="表格 字符"/>
    <w:basedOn w:val="8"/>
    <w:link w:val="12"/>
    <w:qFormat/>
    <w:uiPriority w:val="0"/>
    <w:rPr>
      <w:rFonts w:eastAsia="仿宋"/>
      <w:sz w:val="24"/>
    </w:rPr>
  </w:style>
  <w:style w:type="paragraph" w:styleId="14">
    <w:name w:val="No Spacing"/>
    <w:autoRedefine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C7AE5E37765B843B1804DDFE57405C5" ma:contentTypeVersion="1" ma:contentTypeDescription="新建文档。" ma:contentTypeScope="" ma:versionID="076be6d64f4afe07673c93ed016244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7ECEEA-6355-425A-ADE8-3230FF104065}">
  <ds:schemaRefs/>
</ds:datastoreItem>
</file>

<file path=customXml/itemProps2.xml><?xml version="1.0" encoding="utf-8"?>
<ds:datastoreItem xmlns:ds="http://schemas.openxmlformats.org/officeDocument/2006/customXml" ds:itemID="{34AEEF84-1C37-418A-B9DE-191E8D78B763}">
  <ds:schemaRefs/>
</ds:datastoreItem>
</file>

<file path=customXml/itemProps3.xml><?xml version="1.0" encoding="utf-8"?>
<ds:datastoreItem xmlns:ds="http://schemas.openxmlformats.org/officeDocument/2006/customXml" ds:itemID="{56FF60DF-9F75-47BA-A924-091D4DE9B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1391</Characters>
  <Lines>11</Lines>
  <Paragraphs>3</Paragraphs>
  <TotalTime>234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吴健萍</dc:creator>
  <cp:lastModifiedBy>贺诗瑶</cp:lastModifiedBy>
  <cp:revision>5</cp:revision>
  <cp:lastPrinted>2023-08-07T00:32:00Z</cp:lastPrinted>
  <dcterms:created xsi:type="dcterms:W3CDTF">2022-01-21T02:37:00Z</dcterms:created>
  <dcterms:modified xsi:type="dcterms:W3CDTF">2026-01-23T07:29:28Z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B2F4653A887B4147817DC8591380AAB6_12</vt:lpwstr>
  </property>
  <property fmtid="{D5CDD505-2E9C-101B-9397-08002B2CF9AE}" pid="4" name="ContentTypeId">
    <vt:lpwstr>0x010100AC7AE5E37765B843B1804DDFE57405C5</vt:lpwstr>
  </property>
</Properties>
</file>